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D2" w:rsidRDefault="00031AD2" w:rsidP="00031AD2">
      <w:proofErr w:type="gramStart"/>
      <w:r>
        <w:t>6354  Chronic</w:t>
      </w:r>
      <w:proofErr w:type="gramEnd"/>
      <w:r>
        <w:t xml:space="preserve"> Fatigue Syndrome (CFS): </w:t>
      </w:r>
    </w:p>
    <w:p w:rsidR="00031AD2" w:rsidRDefault="00031AD2" w:rsidP="00031AD2"/>
    <w:p w:rsidR="00031AD2" w:rsidRDefault="00031AD2" w:rsidP="00031AD2">
      <w:r>
        <w:tab/>
      </w:r>
      <w:r>
        <w:tab/>
        <w:t xml:space="preserve">Debilitating fatigue, cognitive impairments (such as inability to </w:t>
      </w:r>
    </w:p>
    <w:p w:rsidR="00031AD2" w:rsidRDefault="00031AD2" w:rsidP="00031AD2">
      <w:r>
        <w:tab/>
      </w:r>
      <w:r>
        <w:tab/>
      </w:r>
      <w:proofErr w:type="gramStart"/>
      <w:r>
        <w:t>concentrate</w:t>
      </w:r>
      <w:proofErr w:type="gramEnd"/>
      <w:r>
        <w:t xml:space="preserve">, forgetfulness, confusion), or a combination of other </w:t>
      </w:r>
    </w:p>
    <w:p w:rsidR="00031AD2" w:rsidRDefault="00031AD2" w:rsidP="00031AD2">
      <w:r>
        <w:tab/>
      </w:r>
      <w:r>
        <w:tab/>
      </w:r>
      <w:proofErr w:type="gramStart"/>
      <w:r>
        <w:t>signs</w:t>
      </w:r>
      <w:proofErr w:type="gramEnd"/>
      <w:r>
        <w:t xml:space="preserve"> and symptoms: </w:t>
      </w:r>
    </w:p>
    <w:p w:rsidR="00031AD2" w:rsidRDefault="00031AD2" w:rsidP="00031AD2"/>
    <w:p w:rsidR="00031AD2" w:rsidRDefault="00031AD2" w:rsidP="00031AD2">
      <w:r>
        <w:tab/>
      </w:r>
      <w:r>
        <w:tab/>
      </w:r>
      <w:r>
        <w:tab/>
        <w:t xml:space="preserve">Which are nearly constant and so severe as to restrict </w:t>
      </w:r>
      <w:proofErr w:type="gramStart"/>
      <w:r>
        <w:t>routine</w:t>
      </w:r>
      <w:proofErr w:type="gramEnd"/>
      <w:r>
        <w:t xml:space="preserve">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daily</w:t>
      </w:r>
      <w:proofErr w:type="gramEnd"/>
      <w:r>
        <w:t xml:space="preserve"> activities almost completely and which may occasionally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preclude</w:t>
      </w:r>
      <w:proofErr w:type="gramEnd"/>
      <w:r>
        <w:t xml:space="preserve"> self-care </w:t>
      </w:r>
      <w:r>
        <w:tab/>
        <w:t xml:space="preserve">100 </w:t>
      </w:r>
    </w:p>
    <w:p w:rsidR="00031AD2" w:rsidRDefault="00031AD2" w:rsidP="00031AD2"/>
    <w:p w:rsidR="00031AD2" w:rsidRDefault="00031AD2" w:rsidP="00031AD2">
      <w:r>
        <w:tab/>
      </w:r>
      <w:r>
        <w:tab/>
      </w:r>
      <w:r>
        <w:tab/>
        <w:t xml:space="preserve">Which are nearly constant and restrict routine daily </w:t>
      </w:r>
      <w:proofErr w:type="gramStart"/>
      <w:r>
        <w:t>activities</w:t>
      </w:r>
      <w:proofErr w:type="gramEnd"/>
      <w:r>
        <w:t xml:space="preserve">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less than 50 percent of the pre-illness level, or; which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wax</w:t>
      </w:r>
      <w:proofErr w:type="gramEnd"/>
      <w:r>
        <w:t xml:space="preserve"> and wane, resulting in periods of incapacitation of at least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six</w:t>
      </w:r>
      <w:proofErr w:type="gramEnd"/>
      <w:r>
        <w:t xml:space="preserve"> weeks total duration per year </w:t>
      </w:r>
      <w:r>
        <w:tab/>
        <w:t xml:space="preserve">60 </w:t>
      </w:r>
    </w:p>
    <w:p w:rsidR="00031AD2" w:rsidRDefault="00031AD2" w:rsidP="00031AD2"/>
    <w:p w:rsidR="00031AD2" w:rsidRDefault="00031AD2" w:rsidP="00031AD2">
      <w:r>
        <w:tab/>
      </w:r>
      <w:r>
        <w:tab/>
      </w:r>
      <w:r>
        <w:tab/>
        <w:t xml:space="preserve">Which are nearly constant and restrict routine daily activities </w:t>
      </w:r>
      <w:proofErr w:type="gramStart"/>
      <w:r>
        <w:t>to</w:t>
      </w:r>
      <w:proofErr w:type="gramEnd"/>
      <w:r>
        <w:t xml:space="preserve"> </w:t>
      </w:r>
    </w:p>
    <w:p w:rsidR="00031AD2" w:rsidRDefault="00031AD2" w:rsidP="00031AD2">
      <w:r>
        <w:tab/>
      </w:r>
      <w:r>
        <w:tab/>
      </w:r>
      <w:r>
        <w:tab/>
      </w:r>
      <w:r>
        <w:tab/>
        <w:t>50 to 75 percent of the pre-illness level, or; which wax and wane,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resulting</w:t>
      </w:r>
      <w:proofErr w:type="gramEnd"/>
      <w:r>
        <w:t xml:space="preserve"> in periods of incapacitation of at least four but less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than</w:t>
      </w:r>
      <w:proofErr w:type="gramEnd"/>
      <w:r>
        <w:t xml:space="preserve"> six weeks total duration per year </w:t>
      </w:r>
      <w:r>
        <w:tab/>
        <w:t xml:space="preserve">40 </w:t>
      </w:r>
    </w:p>
    <w:p w:rsidR="00031AD2" w:rsidRDefault="00031AD2" w:rsidP="00031AD2"/>
    <w:p w:rsidR="00031AD2" w:rsidRDefault="00031AD2" w:rsidP="00031AD2">
      <w:r>
        <w:tab/>
      </w:r>
      <w:r>
        <w:tab/>
      </w:r>
      <w:r>
        <w:tab/>
        <w:t xml:space="preserve">Which are nearly constant and restrict routine daily activities </w:t>
      </w:r>
      <w:proofErr w:type="gramStart"/>
      <w:r>
        <w:t>by</w:t>
      </w:r>
      <w:proofErr w:type="gramEnd"/>
      <w:r>
        <w:t xml:space="preserve">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less</w:t>
      </w:r>
      <w:proofErr w:type="gramEnd"/>
      <w:r>
        <w:t xml:space="preserve"> than 25 percent of the pre-illness level, or; which wax and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wane</w:t>
      </w:r>
      <w:proofErr w:type="gramEnd"/>
      <w:r>
        <w:t xml:space="preserve">, resulting in periods of incapacitation of at least two but less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than</w:t>
      </w:r>
      <w:proofErr w:type="gramEnd"/>
      <w:r>
        <w:t xml:space="preserve"> four weeks total duration per year </w:t>
      </w:r>
      <w:r>
        <w:tab/>
        <w:t xml:space="preserve">20 </w:t>
      </w:r>
    </w:p>
    <w:p w:rsidR="00031AD2" w:rsidRDefault="00031AD2" w:rsidP="00031AD2"/>
    <w:p w:rsidR="00031AD2" w:rsidRDefault="00031AD2" w:rsidP="00031AD2">
      <w:r>
        <w:lastRenderedPageBreak/>
        <w:tab/>
      </w:r>
      <w:r>
        <w:tab/>
      </w:r>
      <w:r>
        <w:tab/>
        <w:t xml:space="preserve">Which wax and wane but result in periods of incapacitation of </w:t>
      </w:r>
      <w:proofErr w:type="gramStart"/>
      <w:r>
        <w:t>at</w:t>
      </w:r>
      <w:proofErr w:type="gramEnd"/>
      <w:r>
        <w:t xml:space="preserve">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least</w:t>
      </w:r>
      <w:proofErr w:type="gramEnd"/>
      <w:r>
        <w:t xml:space="preserve"> one but less than two weeks total duration per year, or; </w:t>
      </w:r>
    </w:p>
    <w:p w:rsidR="00031AD2" w:rsidRDefault="00031AD2" w:rsidP="00031AD2">
      <w:r>
        <w:tab/>
      </w:r>
      <w:r>
        <w:tab/>
      </w:r>
      <w:r>
        <w:tab/>
      </w:r>
      <w:r>
        <w:tab/>
      </w:r>
      <w:proofErr w:type="gramStart"/>
      <w:r>
        <w:t>symptoms</w:t>
      </w:r>
      <w:proofErr w:type="gramEnd"/>
      <w:r>
        <w:t xml:space="preserve"> controlled by continuous medication </w:t>
      </w:r>
      <w:r>
        <w:tab/>
        <w:t xml:space="preserve">10 </w:t>
      </w:r>
    </w:p>
    <w:p w:rsidR="00031AD2" w:rsidRDefault="00031AD2" w:rsidP="00031AD2"/>
    <w:p w:rsidR="00031AD2" w:rsidRDefault="00031AD2" w:rsidP="00031AD2">
      <w:r>
        <w:tab/>
      </w:r>
      <w:r>
        <w:tab/>
        <w:t>Note: For the purpose of evaluating this disability, the condition will be considered incapacitating only while it requires bed rest and treatment by a physician.</w:t>
      </w:r>
    </w:p>
    <w:p w:rsidR="00730B34" w:rsidRDefault="00730B34">
      <w:bookmarkStart w:id="0" w:name="_GoBack"/>
      <w:bookmarkEnd w:id="0"/>
    </w:p>
    <w:sectPr w:rsidR="0073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2"/>
    <w:rsid w:val="00031AD2"/>
    <w:rsid w:val="007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Bunker</dc:creator>
  <cp:lastModifiedBy>Jim Bunker</cp:lastModifiedBy>
  <cp:revision>1</cp:revision>
  <dcterms:created xsi:type="dcterms:W3CDTF">2011-03-11T16:09:00Z</dcterms:created>
  <dcterms:modified xsi:type="dcterms:W3CDTF">2011-03-11T16:10:00Z</dcterms:modified>
</cp:coreProperties>
</file>